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0"/>
        <w:gridCol w:w="4995"/>
      </w:tblGrid>
      <w:tr>
        <w:trPr>
          <w:trHeight w:val="1620" w:hRule="atLeast"/>
        </w:trPr>
        <w:tc>
          <w:tcPr>
            <w:tcW w:w="4860" w:type="dxa"/>
            <w:tcBorders/>
          </w:tcPr>
          <w:p>
            <w:pPr>
              <w:pStyle w:val="BodyText"/>
              <w:bidi w:val="0"/>
              <w:spacing w:before="0" w:after="140"/>
              <w:jc w:val="left"/>
              <w:rPr>
                <w:sz w:val="24"/>
                <w:szCs w:val="24"/>
              </w:rPr>
            </w:pPr>
            <w:r>
              <w:rPr>
                <w:rStyle w:val="Strong"/>
                <w:rFonts w:ascii="Roboto" w:hAnsi="Roboto"/>
                <w:sz w:val="22"/>
                <w:szCs w:val="22"/>
              </w:rPr>
              <w:t>Robert Smith</w:t>
              <w:br/>
              <w:t>Cybersecurity Professional</w:t>
              <w:br/>
              <w:t>Victorville, CA 92394</w:t>
              <w:br/>
              <w:t>(909) 486-3759</w:t>
              <w:br/>
            </w:r>
            <w:hyperlink r:id="rId2">
              <w:r>
                <w:rPr>
                  <w:rStyle w:val="Hyperlink"/>
                  <w:rFonts w:ascii="Roboto" w:hAnsi="Roboto"/>
                  <w:b/>
                  <w:b/>
                  <w:bCs/>
                  <w:sz w:val="22"/>
                  <w:szCs w:val="22"/>
                </w:rPr>
                <w:t>rsmith16384@yahoo.com</w:t>
              </w:r>
            </w:hyperlink>
          </w:p>
        </w:tc>
        <w:tc>
          <w:tcPr>
            <w:tcW w:w="4995" w:type="dxa"/>
            <w:tcBorders/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</wp:posOffset>
                  </wp:positionV>
                  <wp:extent cx="9144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BodyText"/>
        <w:bidi w:val="0"/>
        <w:jc w:val="left"/>
        <w:rPr>
          <w:rStyle w:val="Strong"/>
          <w:sz w:val="24"/>
          <w:szCs w:val="24"/>
        </w:rPr>
      </w:pPr>
      <w:r>
        <w:rPr>
          <w:sz w:val="24"/>
          <w:szCs w:val="24"/>
        </w:rPr>
      </w:r>
    </w:p>
    <w:p>
      <w:pPr>
        <w:pStyle w:val="HorizontalLine"/>
        <w:bidi w:val="0"/>
        <w:spacing w:lineRule="auto" w:line="276" w:before="0" w:after="1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Professional Summary</w:t>
      </w:r>
    </w:p>
    <w:p>
      <w:pPr>
        <w:pStyle w:val="BodyText"/>
        <w:bidi w:val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Information </w:t>
      </w:r>
      <w:r>
        <w:rPr>
          <w:rFonts w:ascii="Roboto" w:hAnsi="Roboto"/>
          <w:sz w:val="22"/>
          <w:szCs w:val="22"/>
        </w:rPr>
        <w:t xml:space="preserve">Cybersecurity Professional with </w:t>
      </w:r>
      <w:r>
        <w:rPr>
          <w:rFonts w:ascii="Roboto" w:hAnsi="Roboto"/>
          <w:sz w:val="22"/>
          <w:szCs w:val="22"/>
        </w:rPr>
        <w:t xml:space="preserve">over </w:t>
      </w:r>
      <w:r>
        <w:rPr>
          <w:rFonts w:ascii="Roboto" w:hAnsi="Roboto"/>
          <w:sz w:val="22"/>
          <w:szCs w:val="22"/>
        </w:rPr>
        <w:t xml:space="preserve">20 years </w:t>
      </w:r>
      <w:r>
        <w:rPr>
          <w:rFonts w:ascii="Roboto" w:hAnsi="Roboto"/>
          <w:sz w:val="22"/>
          <w:szCs w:val="22"/>
        </w:rPr>
        <w:t xml:space="preserve">experience </w:t>
      </w:r>
      <w:r>
        <w:rPr>
          <w:rFonts w:ascii="Roboto" w:hAnsi="Roboto"/>
          <w:sz w:val="22"/>
          <w:szCs w:val="22"/>
        </w:rPr>
        <w:t xml:space="preserve">in military, federal, and enterprise environments. Proven in SOC </w:t>
      </w:r>
      <w:r>
        <w:rPr>
          <w:rFonts w:ascii="Roboto" w:hAnsi="Roboto"/>
          <w:sz w:val="22"/>
          <w:szCs w:val="22"/>
        </w:rPr>
        <w:t>operations</w:t>
      </w:r>
      <w:r>
        <w:rPr>
          <w:rFonts w:ascii="Roboto" w:hAnsi="Roboto"/>
          <w:sz w:val="22"/>
          <w:szCs w:val="22"/>
        </w:rPr>
        <w:t>, endpoint protection, vulnerability management, and regulatory compliance (STIG, HIPAA, PCI DSS, RMF, FISMA). Certifications include CISSP, CEH, Security+. Practical, impact-focused, and skilled in real-world defense of complex infrastructure.</w:t>
      </w:r>
    </w:p>
    <w:p>
      <w:pPr>
        <w:pStyle w:val="HorizontalLine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Core Competencies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SIEM Administration (Stellar Cyber, FortiSIEM)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Vulnerability Management (Tenable.sc/Nessus, ACAS)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Endpoint Protection (McAfee ePO, CrowdStrike, Carbon Black)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Incident Response &amp; Threat Investigation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STIG/RMF Compliance, HIPAA, PCI DSS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Network Administration (Cisco IOS, VMware, TCP/IP)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Scripting (PowerShell, Bash, Batch)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OS Platforms: Windows Server, RHEL, Debian, Win10/11</w:t>
      </w:r>
    </w:p>
    <w:p>
      <w:pPr>
        <w:pStyle w:val="HorizontalLine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Certifications</w:t>
      </w:r>
    </w:p>
    <w:tbl>
      <w:tblPr>
        <w:tblW w:w="993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18"/>
        <w:gridCol w:w="6912"/>
      </w:tblGrid>
      <w:tr>
        <w:trPr>
          <w:tblHeader w:val="true"/>
        </w:trPr>
        <w:tc>
          <w:tcPr>
            <w:tcW w:w="3018" w:type="dxa"/>
            <w:tcBorders/>
            <w:vAlign w:val="center"/>
          </w:tcPr>
          <w:p>
            <w:pPr>
              <w:pStyle w:val="TableHeading"/>
              <w:bidi w:val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Certification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Heading"/>
              <w:bidi w:val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Verified Skills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CISSP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Risk Management, Governance, Security Architecture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CEH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Pen Testing, Threat Modeling, Attack Simulation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Security+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System Hardening, Identity Management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Network+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Network Infrastructure, Routing &amp; Switching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A+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Hardware, OS Support, Troubleshooting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ITIL Foundations v3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Incident &amp; Service Lifecycle Management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Azure Fundamentals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Cloud Models, Identity, Security Basics</w:t>
            </w:r>
          </w:p>
        </w:tc>
      </w:tr>
      <w:tr>
        <w:trPr/>
        <w:tc>
          <w:tcPr>
            <w:tcW w:w="3018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CIW Site Development Assoc</w:t>
            </w:r>
          </w:p>
        </w:tc>
        <w:tc>
          <w:tcPr>
            <w:tcW w:w="6912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HTML/CSS, Deployment Concepts</w:t>
            </w:r>
          </w:p>
        </w:tc>
      </w:tr>
    </w:tbl>
    <w:p>
      <w:pPr>
        <w:pStyle w:val="HorizontalLine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  <w:r>
        <w:br w:type="page"/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Professional Experience</w:t>
      </w:r>
    </w:p>
    <w:p>
      <w:pPr>
        <w:pStyle w:val="BodyText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BlueAlly Technology Solutions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SOC Team Lead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Jun 2022 – Feb 2025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Managed SIEM </w:t>
      </w:r>
      <w:r>
        <w:rPr>
          <w:rFonts w:ascii="Roboto" w:hAnsi="Roboto"/>
          <w:sz w:val="22"/>
          <w:szCs w:val="22"/>
        </w:rPr>
        <w:t xml:space="preserve">platforms creating and tuning </w:t>
      </w:r>
      <w:r>
        <w:rPr>
          <w:rFonts w:ascii="Roboto" w:hAnsi="Roboto"/>
          <w:sz w:val="22"/>
          <w:szCs w:val="22"/>
        </w:rPr>
        <w:t>rule</w:t>
      </w:r>
      <w:r>
        <w:rPr>
          <w:rFonts w:ascii="Roboto" w:hAnsi="Roboto"/>
          <w:sz w:val="22"/>
          <w:szCs w:val="22"/>
        </w:rPr>
        <w:t>s</w:t>
      </w:r>
      <w:r>
        <w:rPr>
          <w:rFonts w:ascii="Roboto" w:hAnsi="Roboto"/>
          <w:sz w:val="22"/>
          <w:szCs w:val="22"/>
        </w:rPr>
        <w:t xml:space="preserve"> for multiple clients.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Deployed and configured enterprise-grade AV solutions.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Directed vulnerability scans and remediation reporting.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Enhanced detection platform with latest IoCs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NTT Data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Security Analysis Specialist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Jan 2020 – Jan 2022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Ran Tenable/Nessus scans, triaged threats, and hardened endpoints.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Handled user access provisioning and AV configuration.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Created documentation packages for internal audits and compliance.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Atos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Security Consultant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Aug 2017 – Oct 2019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Administered McAfee ePO; ensured HIPAA and PCI DSS alignment.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Responded to escalated security issues and supported audits.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Maintained uptime SLAs and endpoint protections remotely.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DirectViz Solutions / Katmai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System Administrator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Nov 2016 – Aug 2017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Upgraded switches, applied STIG-compliant patches, and cabled infrastructure.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Delivered hands-on hardware and network remediation.</w:t>
      </w:r>
    </w:p>
    <w:p>
      <w:pPr>
        <w:pStyle w:val="BodyText"/>
        <w:bidi w:val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US Navy (GS-2210)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IT Specialist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Nov 2014 – Nov 2016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Led team ensuring STIG/CTO compliance and RMF documentation.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Authored POA&amp;M packages and supported multiple ATO cycles.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rStyle w:val="Strong"/>
          <w:rFonts w:ascii="Roboto" w:hAnsi="Roboto"/>
          <w:sz w:val="22"/>
          <w:szCs w:val="22"/>
        </w:rPr>
      </w:pPr>
      <w:r>
        <w:rPr/>
      </w:r>
      <w:r>
        <w:br w:type="page"/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Jacobs (Contractor)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System Administrator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Feb 2013 – Nov 2014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Oversaw NOSC-level appliances and ACAS scan cycles.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Supported CCRI inspection prep and vulnerability response.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Perot Systems / Dell Services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Network Analyst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Mar 2006 – Nov 2012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Rolled out VOIP and EHR deployments across healthcare sites.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Met SLA demands during high-uptime field support.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bidi w:val="0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U.S. Army</w:t>
      </w:r>
      <w:r>
        <w:rPr>
          <w:rFonts w:ascii="Roboto" w:hAnsi="Roboto"/>
          <w:sz w:val="22"/>
          <w:szCs w:val="22"/>
        </w:rPr>
        <w:t xml:space="preserve"> — </w:t>
      </w:r>
      <w:r>
        <w:rPr>
          <w:rStyle w:val="Emphasis"/>
          <w:rFonts w:ascii="Roboto" w:hAnsi="Roboto"/>
          <w:sz w:val="22"/>
          <w:szCs w:val="22"/>
        </w:rPr>
        <w:t>Network Switching Systems Operator (25F)</w:t>
      </w:r>
      <w:r>
        <w:rPr>
          <w:rFonts w:ascii="Roboto" w:hAnsi="Roboto"/>
          <w:sz w:val="22"/>
          <w:szCs w:val="22"/>
        </w:rPr>
        <w:br/>
      </w:r>
      <w:r>
        <w:rPr>
          <w:rStyle w:val="Emphasis"/>
          <w:rFonts w:ascii="Roboto" w:hAnsi="Roboto"/>
          <w:sz w:val="22"/>
          <w:szCs w:val="22"/>
        </w:rPr>
        <w:t>May 2001 – Apr 2006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Deployed LOS and satellite comms; configured tactical networks.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Earned Commendation, Achievement, and Campaign Medals.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orizontalLine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Notable Achievements</w:t>
      </w:r>
    </w:p>
    <w:p>
      <w:pPr>
        <w:pStyle w:val="BodyText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Deployed EHR </w:t>
      </w:r>
      <w:r>
        <w:rPr>
          <w:rFonts w:ascii="Roboto" w:hAnsi="Roboto"/>
          <w:sz w:val="22"/>
          <w:szCs w:val="22"/>
        </w:rPr>
        <w:t xml:space="preserve">to 3 </w:t>
      </w:r>
      <w:r>
        <w:rPr>
          <w:rFonts w:ascii="Roboto" w:hAnsi="Roboto"/>
          <w:sz w:val="22"/>
          <w:szCs w:val="22"/>
        </w:rPr>
        <w:t xml:space="preserve">hospital </w:t>
      </w:r>
      <w:r>
        <w:rPr>
          <w:rFonts w:ascii="Roboto" w:hAnsi="Roboto"/>
          <w:sz w:val="22"/>
          <w:szCs w:val="22"/>
        </w:rPr>
        <w:t>systems</w:t>
      </w:r>
      <w:r>
        <w:rPr>
          <w:rFonts w:ascii="Roboto" w:hAnsi="Roboto"/>
          <w:sz w:val="22"/>
          <w:szCs w:val="22"/>
        </w:rPr>
        <w:t xml:space="preserve"> to </w:t>
      </w:r>
      <w:r>
        <w:rPr>
          <w:rFonts w:ascii="Roboto" w:hAnsi="Roboto"/>
          <w:sz w:val="22"/>
          <w:szCs w:val="22"/>
        </w:rPr>
        <w:t xml:space="preserve">help them </w:t>
      </w:r>
      <w:r>
        <w:rPr>
          <w:rFonts w:ascii="Roboto" w:hAnsi="Roboto"/>
          <w:sz w:val="22"/>
          <w:szCs w:val="22"/>
        </w:rPr>
        <w:t xml:space="preserve">receive </w:t>
      </w:r>
      <w:r>
        <w:rPr>
          <w:rFonts w:ascii="Roboto" w:hAnsi="Roboto"/>
          <w:sz w:val="22"/>
          <w:szCs w:val="22"/>
        </w:rPr>
        <w:t xml:space="preserve">meaningful use </w:t>
      </w:r>
      <w:r>
        <w:rPr>
          <w:rFonts w:ascii="Roboto" w:hAnsi="Roboto"/>
          <w:sz w:val="22"/>
          <w:szCs w:val="22"/>
        </w:rPr>
        <w:t>incentive</w:t>
      </w:r>
      <w:r>
        <w:rPr>
          <w:rFonts w:ascii="Roboto" w:hAnsi="Roboto"/>
          <w:sz w:val="22"/>
          <w:szCs w:val="22"/>
        </w:rPr>
        <w:t>s</w:t>
      </w:r>
      <w:r>
        <w:rPr>
          <w:rFonts w:ascii="Roboto" w:hAnsi="Roboto"/>
          <w:sz w:val="22"/>
          <w:szCs w:val="22"/>
        </w:rPr>
        <w:t xml:space="preserve"> payouts.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Developed desktop migration </w:t>
      </w:r>
      <w:r>
        <w:rPr>
          <w:rFonts w:ascii="Roboto" w:hAnsi="Roboto"/>
          <w:sz w:val="22"/>
          <w:szCs w:val="22"/>
        </w:rPr>
        <w:t>process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using USMT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that became the standard training.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Supplied STIG/ACAS findings that led to CCRI pass at NAVAIR Point Mugu.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orizontalLine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Heading3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Education</w:t>
      </w:r>
    </w:p>
    <w:p>
      <w:pPr>
        <w:pStyle w:val="BodyText"/>
        <w:bidi w:val="0"/>
        <w:spacing w:lineRule="auto" w:line="276" w:before="0" w:after="140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Western Governors University</w:t>
      </w:r>
      <w:r>
        <w:rPr>
          <w:rFonts w:ascii="Roboto" w:hAnsi="Roboto"/>
          <w:sz w:val="22"/>
          <w:szCs w:val="22"/>
        </w:rPr>
        <w:t xml:space="preserve">, InfoSec Studies – </w:t>
      </w:r>
      <w:r>
        <w:rPr>
          <w:rStyle w:val="Emphasis"/>
          <w:rFonts w:ascii="Roboto" w:hAnsi="Roboto"/>
          <w:sz w:val="22"/>
          <w:szCs w:val="22"/>
        </w:rPr>
        <w:t>31 units completed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Victor Valley College</w:t>
      </w:r>
      <w:r>
        <w:rPr>
          <w:rFonts w:ascii="Roboto" w:hAnsi="Roboto"/>
          <w:sz w:val="22"/>
          <w:szCs w:val="22"/>
        </w:rPr>
        <w:t xml:space="preserve">, IT Coursework – </w:t>
      </w:r>
      <w:r>
        <w:rPr>
          <w:rStyle w:val="Emphasis"/>
          <w:rFonts w:ascii="Roboto" w:hAnsi="Roboto"/>
          <w:sz w:val="22"/>
          <w:szCs w:val="22"/>
        </w:rPr>
        <w:t>26 units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>
          <w:sz w:val="24"/>
        </w:rPr>
      </w:pPr>
      <w:r>
        <w:rPr>
          <w:rStyle w:val="Strong"/>
          <w:rFonts w:ascii="Roboto" w:hAnsi="Roboto"/>
          <w:sz w:val="22"/>
          <w:szCs w:val="22"/>
        </w:rPr>
        <w:t>Chaffey College</w:t>
      </w:r>
      <w:r>
        <w:rPr>
          <w:rFonts w:ascii="Roboto" w:hAnsi="Roboto"/>
          <w:sz w:val="22"/>
          <w:szCs w:val="22"/>
        </w:rPr>
        <w:t xml:space="preserve">, IT Coursework – </w:t>
      </w:r>
      <w:r>
        <w:rPr>
          <w:rStyle w:val="Emphasis"/>
          <w:rFonts w:ascii="Roboto" w:hAnsi="Roboto"/>
          <w:sz w:val="22"/>
          <w:szCs w:val="22"/>
        </w:rPr>
        <w:t>30 units</w:t>
      </w:r>
    </w:p>
    <w:p>
      <w:pPr>
        <w:pStyle w:val="BodyText"/>
        <w:bidi w:val="0"/>
        <w:spacing w:before="0" w:after="140"/>
        <w:jc w:val="left"/>
        <w:rPr>
          <w:sz w:val="24"/>
        </w:rPr>
      </w:pPr>
      <w:r>
        <w:rPr>
          <w:rFonts w:ascii="Roboto" w:hAnsi="Roboto"/>
          <w:sz w:val="22"/>
          <w:szCs w:val="22"/>
        </w:rPr>
        <w:t>(</w:t>
      </w:r>
      <w:r>
        <w:rPr>
          <w:rStyle w:val="Emphasis"/>
          <w:rFonts w:ascii="Roboto" w:hAnsi="Roboto"/>
          <w:sz w:val="22"/>
          <w:szCs w:val="22"/>
        </w:rPr>
        <w:t>Degree not completed. Education remains active in technical scope.</w:t>
      </w:r>
      <w:r>
        <w:rPr>
          <w:rFonts w:ascii="Roboto" w:hAnsi="Roboto"/>
          <w:sz w:val="22"/>
          <w:szCs w:val="22"/>
        </w:rPr>
        <w:t>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Roboto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smith16384@yahoo.com" TargetMode="External"/><Relationship Id="rId3" Type="http://schemas.openxmlformats.org/officeDocument/2006/relationships/image" Target="media/image1.bmp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LibreOffice/25.2.2.2$Linux_X86_64 LibreOffice_project/520$Build-2</Application>
  <AppVersion>15.0000</AppVersion>
  <Pages>3</Pages>
  <Words>496</Words>
  <Characters>3161</Characters>
  <CharactersWithSpaces>3565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2025-07-29T20:07:53Z</dcterms:created>
  <dc:creator/>
  <dc:description/>
  <dc:language>en-US</dc:language>
  <cp:lastModifiedBy/>
  <cp:lastPrinted>2025-08-04T07:28:17Z</cp:lastPrinted>
  <dcterms:modified xsi:type="dcterms:W3CDTF">2025-08-04T07:28:11Z</dcterms:modified>
  <cp:revision>13</cp:revision>
  <dc:subject/>
  <dc:title/>
</cp:coreProperties>
</file>